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16805</w:t>
        <w:t xml:space="preserve">.  </w:t>
      </w:r>
      <w:r>
        <w:rPr>
          <w:b/>
        </w:rPr>
        <w:t xml:space="preserve">Immunity for 3rd-party disclosures</w:t>
      </w:r>
    </w:p>
    <w:p>
      <w:pPr>
        <w:jc w:val="both"/>
        <w:spacing w:before="100" w:after="100"/>
        <w:ind w:start="360"/>
        <w:ind w:firstLine="360"/>
      </w:pPr>
      <w:r>
        <w:rPr/>
      </w:r>
      <w:r>
        <w:rPr/>
      </w:r>
      <w:r>
        <w:t xml:space="preserve">A qualified individual who in good faith and exercising reasonable care complies with </w:t>
      </w:r>
      <w:r>
        <w:t>section 16804</w:t>
      </w:r>
      <w:r>
        <w:t xml:space="preserve"> is immune from any administrative or civil liability that might otherwise arise from a disclosure under </w:t>
      </w:r>
      <w:r>
        <w:t>section 16804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§16805. Immunity for 3rd-party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§16805. Immunity for 3rd-party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§16805. IMMUNITY FOR 3RD-PARTY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