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17501</w:t>
        <w:t xml:space="preserve">.  </w:t>
      </w:r>
      <w:r>
        <w:rPr>
          <w:b/>
        </w:rPr>
        <w:t xml:space="preserve">Short title, legislative intent and declaration of purpose</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Audiology and Speech-Language Pathology Interstate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"Audiology and Speech-Language Pathology Interstate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Declaration of purpose.</w:t>
        <w:t xml:space="preserve"> </w:t>
      </w:r>
      <w:r>
        <w:t xml:space="preserve"> </w:t>
      </w:r>
      <w:r>
        <w:t xml:space="preserve">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client is located at the time of the client encounter. The compact preserves the regulatory authority of states to protect public health and safety through the current system of state licensure. The compact is designed to achieve the following objectives:</w:t>
      </w:r>
    </w:p>
    <w:p>
      <w:pPr>
        <w:jc w:val="both"/>
        <w:spacing w:before="100" w:after="0"/>
        <w:ind w:start="720"/>
      </w:pPr>
      <w:r>
        <w:rPr/>
        <w:t>A</w:t>
        <w:t xml:space="preserve">.  </w:t>
      </w:r>
      <w:r>
        <w:rPr/>
      </w:r>
      <w:r>
        <w:t xml:space="preserve">Increase public access to audiology and speech-language pathology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Enhance the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Encourage the cooperation of member states in regulating multistate audiology and speech-language pathology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Support spouses of relocating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Enhance the exchange of licensure, investigative and disciplinary information between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Allow for the use of telehealth technology to facilitate increased access to audiology and speech-language pathology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§17501. Short title, legislative intent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§17501. Short title, legislative intent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§17501. SHORT TITLE, LEGISLATIVE INTENT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