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17507</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audiologist's or speech-language pathologist's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audiologist's or speech-language pathologist's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audiologist or speech-language pathologist who changes the audiologist's or speech-language pathologist's primary state of residence during the course of the investigations.  The home state where the investigations were initiated also has the authority to take appropriate action and shall promptly report the conclusions of the investigations to the administrator of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audiologist or speech-language pathologist the costs of investigations and disposition of cases resulting from any adverse action taken against that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audiology or speech-language pathology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audiologist's or speech-language pathologist's license, the audiologist's or speech-language pathologist's compact privilege in all other member states must be deactivated until all encumbrances have been removed from the state license.  All home state disciplinary orders that impose adverse action against an audiologist's or speech-language pathologist's license must include a statement that the audiologist's or speech-language pathologist's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