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18123</w:t>
        <w:t xml:space="preserve">.  </w:t>
      </w:r>
      <w:r>
        <w:rPr>
          <w:b/>
        </w:rPr>
        <w:t xml:space="preserve">Powers and duties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Board to enforce this chapter.</w:t>
        <w:t xml:space="preserve"> </w:t>
      </w:r>
      <w:r>
        <w:t xml:space="preserve"> </w:t>
      </w:r>
      <w:r>
        <w:t xml:space="preserve">The board shall enforce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100"/>
        <w:ind w:start="360"/>
        <w:ind w:firstLine="360"/>
      </w:pPr>
      <w:r>
        <w:rPr>
          <w:b/>
        </w:rPr>
        <w:t>2</w:t>
        <w:t xml:space="preserve">.  </w:t>
      </w:r>
      <w:r>
        <w:rPr>
          <w:b/>
        </w:rPr>
        <w:t xml:space="preserve">Rules.</w:t>
        <w:t xml:space="preserve"> </w:t>
      </w:r>
      <w:r>
        <w:t xml:space="preserve"> </w:t>
      </w:r>
      <w:r>
        <w:t xml:space="preserve">The board may adopt rules commensurate with the authority vested in it by this chapter, including, but not limited to, rules adopting technical standards for the proper installation and servicing of oil, solid fuel, propane and natural gas burning equipment.  Rules adopted pursuant to this subsection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§3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board;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§3 (NEW).]</w:t>
      </w:r>
    </w:p>
    <w:p>
      <w:pPr>
        <w:jc w:val="both"/>
        <w:spacing w:before="100" w:after="0"/>
        <w:ind w:start="360"/>
      </w:pPr>
      <w:r>
        <w:rPr/>
      </w:r>
      <w:r>
        <w:rPr/>
      </w:r>
      <w:r>
        <w:t xml:space="preserve">The board may adopt by rule national or other technical standards, in whole or in part, that it considers necessary to carry out the provisions of this chapter.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§3 (RPR).]</w:t>
      </w:r>
    </w:p>
    <w:p>
      <w:pPr>
        <w:jc w:val="both"/>
        <w:spacing w:before="100" w:after="0"/>
        <w:ind w:start="360"/>
        <w:ind w:firstLine="360"/>
      </w:pPr>
      <w:r>
        <w:rPr>
          <w:b/>
        </w:rPr>
        <w:t>3</w:t>
        <w:t xml:space="preserve">.  </w:t>
      </w:r>
      <w:r>
        <w:rPr>
          <w:b/>
        </w:rPr>
        <w:t xml:space="preserve">Emerging technologies.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2009, c. 652, Pt. A, §47 (AMD). PL 2011, c. 225, §3 (AMD). PL 2015, c. 169,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§18123.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§18123.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