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18343</w:t>
        <w:t xml:space="preserve">.  </w:t>
      </w:r>
      <w:r>
        <w:rPr>
          <w:b/>
        </w:rPr>
        <w:t xml:space="preserve">Dental radiographer</w:t>
      </w:r>
    </w:p>
    <w:p>
      <w:pPr>
        <w:jc w:val="both"/>
        <w:spacing w:before="100" w:after="100"/>
        <w:ind w:start="360"/>
        <w:ind w:firstLine="360"/>
      </w:pPr>
      <w:r>
        <w:rPr>
          <w:b/>
        </w:rPr>
        <w:t>1</w:t>
        <w:t xml:space="preserve">.  </w:t>
      </w:r>
      <w:r>
        <w:rPr>
          <w:b/>
        </w:rPr>
        <w:t xml:space="preserve">Dental radiographer license.</w:t>
        <w:t xml:space="preserve"> </w:t>
      </w:r>
      <w:r>
        <w:t xml:space="preserve"> </w:t>
      </w:r>
      <w:r>
        <w:t xml:space="preserve">Except as provided in </w:t>
      </w:r>
      <w:r>
        <w:t>section 18347</w:t>
      </w:r>
      <w:r>
        <w:t xml:space="preserve">, an applicant for a dental radiographer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passing an examination in dental radiologic technique and safety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§18343. Dental radiographer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§18343. Dental radiographer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§18343. DENTAL RADIOGRAPHER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