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18516</w:t>
        <w:t xml:space="preserve">.  </w:t>
      </w:r>
      <w:r>
        <w:rPr>
          <w:b/>
        </w:rPr>
        <w:t xml:space="preserve">Rule-making functions of the interstate commission</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reasonable rules, which are routine technical rules pursuant to </w:t>
      </w:r>
      <w:r>
        <w:t>Title 5, chapter 375, subchapter 2‑A</w:t>
      </w:r>
      <w:r>
        <w:t xml:space="preserve">, in order to effectively and efficiently achieve the purposes of the compact; however, if the interstate commission exercises its rule-making authority in a manner that is beyond the scope of the purposes of the compact or the powers granted under the compact,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 conformation.</w:t>
        <w:t xml:space="preserve"> </w:t>
      </w:r>
      <w:r>
        <w:t xml:space="preserve"> </w:t>
      </w:r>
      <w:r>
        <w:t xml:space="preserve">Rules for the operations of the interstate commission must be adopted pursuant to a rule-making process that substantially conforms to the "Revised Model State Administrative Procedure Act" (2010), as amended, of the National Conference of Commissioners on Uniform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adopted, a person may file a petition for judicial review of the rule in the United States District Court for the District of Columbia or the federal district where the interstate commission has its principal offices,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authority granted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§18516. Rule-making functions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§18516. Rule-making functions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§18516. RULE-MAKING FUNCTIONS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