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18521</w:t>
        <w:t xml:space="preserve">.  </w:t>
      </w:r>
      <w:r>
        <w:rPr>
          <w:b/>
        </w:rPr>
        <w:t xml:space="preserve">Member states, effective date and amendment</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is eligible to become a member state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legislative enactment of the compact into law by no fewer than 7 states. Thereafter, it becomes effective and binding on a state upon enactment of the compact into law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Participation by nonmember states.</w:t>
        <w:t xml:space="preserve"> </w:t>
      </w:r>
      <w:r>
        <w:t xml:space="preserve"> </w:t>
      </w:r>
      <w:r>
        <w:t xml:space="preserve">The governors of nonmember states, or their designees, must be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Amendments to compact.</w:t>
        <w:t xml:space="preserve"> </w:t>
      </w:r>
      <w:r>
        <w:t xml:space="preserve"> </w:t>
      </w:r>
      <w:r>
        <w:t xml:space="preserve">The interstate commission may propose amendments to the compact for enactment by the member states. An amendment does not become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§18521. Member states, effective date and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§18521. Member states, effective date and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§18521. MEMBER STATES, EFFECTIVE DATE AND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