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450 (AMD). PL 1979, c. 456 (AMD). PL 1979, c. 735 (AMD). PL 1987, c. 722 (AMD). PL 1989, c. 470, §§1,3 (AMD). PL 1989, c. 585, §§D6,D11 (AMD). PL 1989, c. 869, §§C4,5,12,15 (AMD). PL 1991, c. 528, §§R2,3 (AMD). PL 1991, c. 528, §§R18,RRR (AFF). PL 1991, c. 591, §§R2,3 (AMD). PL 1991, c. 591, §R18 (AFF). PL 1991, c. 819, §§6-9 (AMD). PL 1993, c. 703, §1 (AMD). PL 1995, c. 85, §1 (AMD). PL 1995, c. 395, §P2 (AMD). PL 1995, c. 395, §P11 (AFF). RR 2003, c. 1, §34 (COR). PL 2003, c. 499, §§5-7 (AMD). PL 2003, c. 688, §E1 (AMD). PL 2003, c. 700, §1 (AMD). PL 2003, c. 700, §6 (AFF). PL 2007, c. 299, §§3, 4 (AMD). PL 2009, c. 405, §§1-5 (AMD). PL 2011, c. 429, §§2, 3 (AMD). PL 2011, c. 429, §9 (AFF). PL 2013, c. 275, §1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§1866.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