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Construction and severability -- Article 11</w:t>
      </w:r>
    </w:p>
    <w:p>
      <w:pPr>
        <w:jc w:val="both"/>
        <w:spacing w:before="100" w:after="100"/>
        <w:ind w:start="360"/>
        <w:ind w:firstLine="360"/>
      </w:pPr>
      <w:r>
        <w:rPr/>
      </w:r>
      <w:r>
        <w:rPr/>
      </w:r>
      <w:r>
        <w:t xml:space="preserve">This compact may be liberally construed so as to effectuate its purposes.  The provisions of this compact are severable, and if any phrase, clause, sentence or provision of this compact is declared to be contrary to the constitution of any party state or of the United States or if its applicability to any government, agency, person or circumstance is held invalid, the validity of the remainder of this compact and its applicability to any government, agency, person or circumstance are not affected.  If this compact is held to be contrary to the constitution of any party state, this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§2181. Construction and severability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Construction and severability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§2181. CONSTRUCTION AND SEVERABILITY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