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223-B</w:t>
        <w:t xml:space="preserve">.  </w:t>
      </w:r>
      <w:r>
        <w:rPr>
          <w:b/>
        </w:rPr>
        <w:t xml:space="preserve">Certification by reciprocity</w:t>
      </w:r>
    </w:p>
    <w:p>
      <w:pPr>
        <w:jc w:val="both"/>
        <w:spacing w:before="100" w:after="100"/>
        <w:ind w:start="360"/>
        <w:ind w:firstLine="360"/>
      </w:pPr>
      <w:r>
        <w:rPr/>
      </w:r>
      <w:r>
        <w:rPr/>
      </w:r>
      <w:r>
        <w:t xml:space="preserve">A license may be issued by the board without further examination requirements for an individual who provides proof of passage of the examination administered by the National Council for Interior Design Qualification, or its successor organization, or an equivalent exam as determined by the board or who is licensed or certified as an interior designer in another state if that state's requirements are substantially equivalent to those required for a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2007, c. 402, Pt. F,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§223-B. Certification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§223-B. Certification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§223-B. CERTIFICATION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