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Waiver of requirements for licensure</w:t>
      </w:r>
    </w:p>
    <w:p>
      <w:pPr>
        <w:jc w:val="both"/>
        <w:spacing w:before="100" w:after="100"/>
        <w:ind w:start="360"/>
        <w:ind w:firstLine="360"/>
      </w:pPr>
      <w:r>
        <w:rPr/>
      </w:r>
      <w:r>
        <w:rPr/>
      </w:r>
      <w:r>
        <w:t xml:space="preserve">The board shall grant a license to any person who, prior to July 25, 1984, successfully completed an examination administered by the Psychological Corporation under contract with the American Occupational Therapy Certification Board if that person meets the requirements of </w:t>
      </w:r>
      <w:r>
        <w:t>section 2279,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§15 (AMD). PL 1997, c. 294, §9 (AMD). PL 2013, c. 217, Pt. J, §3 (AMD). PL 2019, c. 287,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§2281. Waiver of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Waiver of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§2281. WAIVER OF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