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Short title; findings and declaration of 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Occupational Therapy Licensure Compact" 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Occupational Therapy Licensure Compact.  The form, format and text of the compact have been changed minimally so as to conform to Maine statutory conventions.  The changes are technical in nature, and it is the intent of the Legislature that this Act be interpreted as substantively the same as the Occupational Therapy Licensure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Purposes.</w:t>
        <w:t xml:space="preserve"> </w:t>
      </w:r>
      <w:r>
        <w:t xml:space="preserve"> </w:t>
      </w:r>
      <w:r>
        <w:t xml:space="preserve">The general purposes of this compact are to:</w:t>
      </w:r>
    </w:p>
    <w:p>
      <w:pPr>
        <w:jc w:val="both"/>
        <w:spacing w:before="100" w:after="0"/>
        <w:ind w:start="720"/>
      </w:pPr>
      <w:r>
        <w:rPr/>
        <w:t>A</w:t>
        <w:t xml:space="preserve">.  </w:t>
      </w:r>
      <w:r>
        <w:rPr/>
      </w:r>
      <w:r>
        <w:t xml:space="preserve">Increase public access to occupational therapy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Encourage the cooperation of member states in regulating multistate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Support spouses of relocating military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Enhance the exchange of licensure, investigative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Facilitate the use of telehealth technology in order to increase access to 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pPr>
      <w:r>
        <w:rPr>
          <w:b w:val="true"/>
          <w:i/>
          <w:caps w:val="true"/>
        </w:rPr>
        <w:t xml:space="preserve">Revisor's Note: </w:t>
      </w:r>
      <w:r>
        <w:t>§2287.  Telehealth services (As enacted by PL 2021, c. 291, Pt. B, §5 is REALLOCATED TO TITLE 32, SECTION 2276-A)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§2287. Short title;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Short title;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§2287. SHORT TITLE;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