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2446</w:t>
        <w:t xml:space="preserve">.  </w:t>
      </w:r>
      <w:r>
        <w:rPr>
          <w:b/>
        </w:rPr>
        <w:t xml:space="preserve">Drugs</w:t>
      </w:r>
    </w:p>
    <w:p>
      <w:pPr>
        <w:jc w:val="both"/>
        <w:spacing w:before="100" w:after="100"/>
        <w:ind w:start="360"/>
        <w:ind w:firstLine="360"/>
      </w:pPr>
      <w:r>
        <w:rPr/>
      </w:r>
      <w:r>
        <w:rPr/>
      </w:r>
      <w:r>
        <w:t xml:space="preserve">An optometrist who uses pharmaceutical agents without first having obtained  the appropriate license under this chapter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1995, c. 606,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563, §6 (NEW). PL 1977, c. 564, §121 (AMD). PL 1987, c. 542, §§K18,K20 (AMD). PL 1993, c. 600, §A167 (AMD). PL 1995, c. 606,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§2446.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§2446.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§2446.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