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2592-A</w:t>
        <w:t xml:space="preserve">.  </w:t>
      </w:r>
      <w:r>
        <w:rPr>
          <w:b/>
        </w:rPr>
        <w:t xml:space="preserve">Reporting and investigation of complaints</w:t>
      </w:r>
    </w:p>
    <w:p>
      <w:pPr>
        <w:jc w:val="both"/>
        <w:spacing w:before="100" w:after="100"/>
        <w:ind w:start="360"/>
        <w:ind w:firstLine="360"/>
      </w:pPr>
      <w:r>
        <w:rPr/>
      </w:r>
      <w:r>
        <w:rPr/>
      </w:r>
      <w:r>
        <w:t xml:space="preserve">When an action is taken against a licensee and the licensee moves or has moved to another state, the board may report to the appropriate licensing board in that state the complaint that has been filed, any other complaints in the physician's record on which action was taken and disciplinary actions of the board with respect to that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w:pPr>
        <w:jc w:val="both"/>
        <w:spacing w:before="100" w:after="100"/>
        <w:ind w:start="360"/>
        <w:ind w:firstLine="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534, §6 (NEW). PL 1993, c. 600, §A182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§2592-A. Reporting and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§2592-A. Reporting and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§2592-A. REPORTING AND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