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2595</w:t>
        <w:t xml:space="preserve">.  </w:t>
      </w:r>
      <w:r>
        <w:rPr>
          <w:b/>
        </w:rPr>
        <w:t xml:space="preserve">Treatment of minors</w:t>
      </w:r>
    </w:p>
    <w:p>
      <w:pPr>
        <w:jc w:val="both"/>
        <w:spacing w:before="100" w:after="100"/>
        <w:ind w:start="360"/>
        <w:ind w:firstLine="360"/>
      </w:pPr>
      <w:r>
        <w:rPr/>
      </w:r>
      <w:r>
        <w:rPr/>
      </w:r>
      <w:r>
        <w:t xml:space="preserve">An individual licensed under this chapter who renders medical care to a minor for the prevention or treatment of a sexually transmitted infection or treatment of substance use or for the collection of sexual assault evidence through a sexual assault forensic examination is under no obligation to obtain the consent of the minor's parent or guardian or to inform the parent or guardian of the prevention or treatment or collection.  Nothing in this section may be construed so as to prohibit the licensed individual rendering the prevention services or treatment or collection from informing the parent or guardian.  For purposes of this section, "substance use" means the use of drugs or alcohol solely to induce a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2019, c. 236,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1979, c. 96, §2 (AMD). PL 1993, c. 600, §A188 (AMD). PL 1999, c. 90, §3 (AMD). PL 2019, c. 236,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§2595. Treatment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§2595. Treatment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§2595. TREATMENT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