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License required</w:t>
      </w:r>
    </w:p>
    <w:p>
      <w:pPr>
        <w:jc w:val="both"/>
        <w:spacing w:before="100" w:after="100"/>
        <w:ind w:start="360"/>
        <w:ind w:firstLine="360"/>
      </w:pPr>
      <w:r>
        <w:rPr/>
      </w:r>
      <w:r>
        <w:rPr/>
      </w:r>
      <w:r>
        <w:t xml:space="preserve">A person in this State who engages in the business of auctioneering,  professes or advertises to be an auctioneer or advertises the sale of real, personal or mixed property by auction shall hold a valid auctioneer's license.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§285.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