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Renewal</w:t>
      </w:r>
    </w:p>
    <w:p>
      <w:pPr>
        <w:jc w:val="both"/>
        <w:spacing w:before="100" w:after="100"/>
        <w:ind w:start="360"/>
        <w:ind w:firstLine="360"/>
      </w:pPr>
      <w:r>
        <w:rPr/>
      </w:r>
      <w:r>
        <w:rPr/>
      </w:r>
      <w:r>
        <w:t xml:space="preserve">Licenses expire annually on March 31st or at a time the Commissioner of Professional and Financial Regulation designates.  The board may issue a renewal license in the absence of any reason or condition that might warrant the refusal of granting a license upon receipt of the written request of the applicant and the renewal fee as set under </w:t>
      </w:r>
      <w:r>
        <w:t>section 287‑A</w:t>
      </w:r>
      <w:r>
        <w:t xml:space="preserve"> and upon the applicant presenting evidence of compliance with the requirements of </w:t>
      </w:r>
      <w:r>
        <w:t>section 292, subsection 5</w:t>
      </w:r>
      <w:r>
        <w:t xml:space="preserve">.  A license may be renewed up to 90 calendar days after the date of its expiration upon payment of a late fee in addition to the renewal fee.  Any applicant who submits an application for renewal more than 90 calendar days after the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G,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§295.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