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Inspection of license; ownership</w:t>
      </w:r>
    </w:p>
    <w:p>
      <w:pPr>
        <w:jc w:val="both"/>
        <w:spacing w:before="100" w:after="100"/>
        <w:ind w:start="360"/>
        <w:ind w:firstLine="360"/>
      </w:pPr>
      <w:r>
        <w:rPr/>
      </w:r>
      <w:r>
        <w:rPr/>
      </w:r>
      <w:r>
        <w:t xml:space="preserve">Every auctioneer shall show that auctioneer's license at any time upon the request of a municipal law enforcement agency or officer or a municipal clerk or official in whose municipality the auctioneer is conducting an auction.  The provisions for obtaining a state auctioneer's license do not prohibit any municipality from establishing its own permit requirements for an auction sale, provided no municipal permit is required for an auction that lasts less than 2 full consecutive days.</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100"/>
        <w:ind w:start="360"/>
        <w:ind w:firstLine="360"/>
      </w:pPr>
      <w:r>
        <w:rPr/>
      </w:r>
      <w:r>
        <w:rPr/>
      </w:r>
      <w:r>
        <w:t xml:space="preserve">A municipal law enforcement agency or officer or a municipal clerk or official may require the auctioneer to state whether the merchandise is owned by another party and the name and address of that party.</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§296. Inspection of license;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Inspection of license;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§296. INSPECTION OF LICENSE;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