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3116-B</w:t>
        <w:t xml:space="preserve">.  </w:t>
      </w:r>
      <w:r>
        <w:rPr>
          <w:b/>
        </w:rPr>
        <w:t xml:space="preserve">Continuing education requirements for license renewal</w:t>
      </w:r>
    </w:p>
    <w:p>
      <w:pPr>
        <w:jc w:val="both"/>
        <w:spacing w:before="100" w:after="100"/>
        <w:ind w:start="360"/>
        <w:ind w:firstLine="360"/>
      </w:pPr>
      <w:r>
        <w:rPr/>
      </w:r>
      <w:r>
        <w:rPr/>
      </w:r>
      <w:r>
        <w:t xml:space="preserve">The board shall establish by rule continuing education requirements as a condition of renewal of a license as authorized under </w:t>
      </w:r>
      <w:r>
        <w:t>Title 10, section 8003, subsection 5‑A,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§3116-B. Continuing education requirements for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§3116-B. Continuing education requirements for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§3116-B. CONTINUING EDUCATION REQUIREMENTS FOR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