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3118</w:t>
        <w:t xml:space="preserve">.  </w:t>
      </w:r>
      <w:r>
        <w:rPr>
          <w:b/>
        </w:rPr>
        <w:t xml:space="preserve">Unlicensed practice</w:t>
      </w:r>
    </w:p>
    <w:p>
      <w:pPr>
        <w:jc w:val="both"/>
        <w:spacing w:before="100" w:after="100"/>
        <w:ind w:start="360"/>
        <w:ind w:firstLine="360"/>
      </w:pPr>
      <w:r>
        <w:rPr/>
      </w:r>
      <w:r>
        <w:rPr/>
      </w:r>
      <w:r>
        <w:t xml:space="preserve">Any person who violates </w:t>
      </w:r>
      <w:r>
        <w:t>section 3113‑A</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§10 (NEW).]</w:t>
      </w:r>
    </w:p>
    <w:p>
      <w:pPr>
        <w:jc w:val="both"/>
        <w:spacing w:before="100" w:after="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207, c. 402, Pt. N, §10 (RP).]</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§139 (NEW). PL 1999, c. 547, §B78 (AMD). PL 1999, c. 547, §B80 (AFF). PL 2007, c. 402, Pt. N,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§3118.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§3118.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§3118.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