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3846</w:t>
        <w:t xml:space="preserve">.  </w:t>
      </w:r>
      <w:r>
        <w:rPr>
          <w:b/>
        </w:rPr>
        <w:t xml:space="preserve">Conditions of telepsychology practice in receiving state - Article 6</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§3850-C, sub-§1)</w:t>
      </w:r>
    </w:p>
    <w:p>
      <w:pPr>
        <w:jc w:val="both"/>
        <w:spacing w:before="100" w:after="100"/>
        <w:ind w:start="360"/>
        <w:ind w:firstLine="360"/>
      </w:pPr>
      <w:r>
        <w:rPr>
          <w:b/>
        </w:rPr>
        <w:t>1</w:t>
        <w:t xml:space="preserve">.  </w:t>
      </w:r>
      <w:r>
        <w:rPr>
          <w:b/>
        </w:rPr>
        <w:t xml:space="preserve">Conditions of telepsychology practice.</w:t>
        <w:t xml:space="preserve"> </w:t>
      </w:r>
      <w:r>
        <w:t xml:space="preserve"> </w:t>
      </w:r>
      <w:r>
        <w:t xml:space="preserve">A psychologist may practice in a receiving state under the authority to practice interjurisdictional telepsychology only in the performance of the scope of practice for psychology as assigned by an appropriate state psychology regulatory authority, as defined in the rules, and under the following circumstances:</w:t>
      </w:r>
    </w:p>
    <w:p>
      <w:pPr>
        <w:jc w:val="both"/>
        <w:spacing w:before="100" w:after="0"/>
        <w:ind w:start="720"/>
      </w:pPr>
      <w:r>
        <w:rPr/>
        <w:t>A</w:t>
        <w:t xml:space="preserve">.  </w:t>
      </w:r>
      <w:r>
        <w:rPr/>
      </w:r>
      <w:r>
        <w:t xml:space="preserve">The psychologist initiates contact with a client in a home state via telecommunications technologies with a client in a receiving state;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Other conditions regarding telepsychology as determined by rules promulgated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§3846. Conditions of telepsychology practice in receiving state - Article 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§3846. Conditions of telepsychology practice in receiving state - Article 6</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§3846. CONDITIONS OF TELEPSYCHOLOGY PRACTICE IN RECEIVING STATE - ARTICLE 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