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required by this chapter, violates the sterilization, sanitation or safety standards adopted by the department under </w:t>
      </w:r>
      <w:r>
        <w:t>section 4251</w:t>
      </w:r>
      <w:r>
        <w:t xml:space="preserve"> or performs tattooing on a minor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§5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of Health and Human Services,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C</w:t>
        <w:t xml:space="preserve">.  </w:t>
      </w:r>
      <w:r>
        <w:rPr/>
      </w:r>
      <w:r>
        <w:t xml:space="preserve">The applicant or licensee has demonstrated negligence or incompetence or has endangered the public in the practice of tattooing; or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§24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(RPR). PL 2021, c. 125, §24 (AMD). PL 2023, c. 113,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§4204.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