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4252</w:t>
        <w:t xml:space="preserve">.  </w:t>
      </w:r>
      <w:r>
        <w:rPr>
          <w:b/>
        </w:rPr>
        <w:t xml:space="preserve">Issuance of licenses</w:t>
      </w:r>
    </w:p>
    <w:p>
      <w:pPr>
        <w:jc w:val="both"/>
        <w:spacing w:before="100" w:after="100"/>
        <w:ind w:start="360"/>
        <w:ind w:firstLine="360"/>
      </w:pPr>
      <w:r>
        <w:rPr/>
      </w:r>
      <w:r>
        <w:rPr/>
      </w:r>
      <w:r>
        <w:t xml:space="preserve">The Department of Health and Human Services may license persons to practice the art of tattooing. Such licenses are issued for a term of one year and may be renewed annually.  The fee for an initial license or a renewal license may not exceed $250.  All fees collected by the department pursuant to this section must be deposited in a special revenue account dedicated to a health inspection program.</w:t>
      </w:r>
      <w:r>
        <w:t xml:space="preserve">  </w:t>
      </w:r>
      <w:r xmlns:wp="http://schemas.openxmlformats.org/drawingml/2010/wordprocessingDrawing" xmlns:w15="http://schemas.microsoft.com/office/word/2012/wordml">
        <w:rPr>
          <w:rFonts w:ascii="Arial" w:hAnsi="Arial" w:cs="Arial"/>
          <w:sz w:val="22"/>
          <w:szCs w:val="22"/>
        </w:rPr>
        <w:t xml:space="preserve">[PL 2013, c. 264, §15 (AMD).]</w:t>
      </w:r>
    </w:p>
    <w:p>
      <w:pPr>
        <w:jc w:val="both"/>
        <w:spacing w:before="100" w:after="0"/>
        <w:ind w:start="360"/>
        <w:ind w:firstLine="360"/>
      </w:pPr>
      <w:r>
        <w:rPr>
          <w:b/>
        </w:rPr>
        <w:t>1</w:t>
        <w:t xml:space="preserve">.  </w:t>
      </w:r>
      <w:r>
        <w:rPr>
          <w:b/>
        </w:rPr>
        <w:t xml:space="preserve">Additional inspection fees.</w:t>
        <w:t xml:space="preserve"> </w:t>
      </w:r>
      <w:r>
        <w:t xml:space="preserve"> </w:t>
      </w:r>
      <w:r>
        <w:t xml:space="preserve">When an additional inspection is required to determine an applicant's eligibility for licensure under this chapter, the department is authorized to charge, in addition to the usual fees under this section for one license, which includes one licensure inspection and one follow-up inspection, an additional fee not to exceed $200 to cover the costs of each additional inspection or visit.  The department may impose on the applicant a penalty for the applicant's failure to pay an additional inspection fee within 30 days of the billing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PL 2009, c. 589, §11 (AMD). PL 2013, c. 264, §15 (AMD). PL 2021, c. 125,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§4252. 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§4252. 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§4252. 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