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Licensing rules</w:t>
      </w:r>
    </w:p>
    <w:p>
      <w:pPr>
        <w:jc w:val="both"/>
        <w:spacing w:before="100" w:after="100"/>
        <w:ind w:start="360"/>
        <w:ind w:firstLine="360"/>
      </w:pPr>
      <w:r>
        <w:rPr/>
      </w:r>
      <w:r>
        <w:rPr/>
      </w:r>
      <w:r>
        <w:t xml:space="preserve">The department shall adopt licensing rules governing the practice of micropigmentation under this chapter.  Rules adopted under this chapter are routine technical rules for purposes of </w:t>
      </w:r>
      <w:r>
        <w:t>Title 5, chapter 375, subchapter II‑A</w:t>
      </w:r>
      <w:r>
        <w:t xml:space="preserve">.  The rules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100"/>
        <w:ind w:start="360"/>
        <w:ind w:firstLine="360"/>
      </w:pPr>
      <w:r>
        <w:rPr>
          <w:b/>
        </w:rPr>
        <w:t>1</w:t>
        <w:t xml:space="preserve">.  </w:t>
      </w:r>
      <w:r>
        <w:rPr>
          <w:b/>
        </w:rPr>
        <w:t xml:space="preserve">Standards of practice.</w:t>
        <w:t xml:space="preserve"> </w:t>
      </w:r>
      <w:r>
        <w:t xml:space="preserve"> </w:t>
      </w:r>
      <w:r>
        <w:t xml:space="preserve">The department shall adopt rules that provide standards for the practice of micropigmentation that include at least the following.</w:t>
      </w:r>
    </w:p>
    <w:p>
      <w:pPr>
        <w:jc w:val="both"/>
        <w:spacing w:before="100" w:after="0"/>
        <w:ind w:start="720"/>
      </w:pPr>
      <w:r>
        <w:rPr/>
        <w:t>A</w:t>
        <w:t xml:space="preserve">.  </w:t>
      </w:r>
      <w:r>
        <w:rPr/>
      </w:r>
      <w:r>
        <w:t xml:space="preserve">Instruments used for micropigmentation must be sterilized in a manner specified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B</w:t>
        <w:t xml:space="preserve">.  </w:t>
      </w:r>
      <w:r>
        <w:rPr/>
      </w:r>
      <w:r>
        <w:t xml:space="preserve">Micropigmentation facilities must be equipped with appropriate sterilization equipment, hot and cold running water and a covered waste receptacle.</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C</w:t>
        <w:t xml:space="preserve">.  </w:t>
      </w:r>
      <w:r>
        <w:rPr/>
      </w:r>
      <w:r>
        <w:t xml:space="preserve">Case history records must be kept for each client.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D</w:t>
        <w:t xml:space="preserve">.  </w:t>
      </w:r>
      <w:r>
        <w:rPr/>
      </w:r>
      <w:r>
        <w:t xml:space="preserve">A micropigmentation practitioner must demonstrate safety, sanitation and sterilization procedures and knowledge of infection control.</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100"/>
        <w:ind w:start="360"/>
        <w:ind w:firstLine="360"/>
      </w:pPr>
      <w:r>
        <w:rPr>
          <w:b/>
        </w:rPr>
        <w:t>2</w:t>
        <w:t xml:space="preserve">.  </w:t>
      </w:r>
      <w:r>
        <w:rPr>
          <w:b/>
        </w:rPr>
        <w:t xml:space="preserve">Education and training.</w:t>
        <w:t xml:space="preserve"> </w:t>
      </w:r>
      <w:r>
        <w:t xml:space="preserve"> </w:t>
      </w:r>
      <w:r>
        <w:t xml:space="preserve">The department shall adopt rules specifying the education and training standards for the practice of micropigmentation.  The rules may require continuing education.</w:t>
      </w:r>
    </w:p>
    <w:p>
      <w:pPr>
        <w:jc w:val="both"/>
        <w:spacing w:before="100" w:after="0"/>
        <w:ind w:start="360"/>
      </w:pPr>
      <w:r>
        <w:rPr/>
      </w:r>
      <w:r>
        <w:rPr/>
      </w:r>
      <w:r>
        <w:t xml:space="preserve">The licensing rules must be adopted by the department by November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§4313. Licensing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Licensing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§4313. LICENSING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