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4700-B</w:t>
        <w:t xml:space="preserve">.  </w:t>
      </w:r>
      <w:r>
        <w:rPr>
          <w:b/>
        </w:rPr>
        <w:t xml:space="preserve">Disposal of fees</w:t>
      </w:r>
    </w:p>
    <w:p>
      <w:pPr>
        <w:jc w:val="both"/>
        <w:spacing w:before="100" w:after="100"/>
        <w:ind w:start="360"/>
        <w:ind w:firstLine="360"/>
      </w:pPr>
      <w:r>
        <w:rPr/>
      </w:r>
      <w:r>
        <w:rPr/>
      </w:r>
      <w:r>
        <w:t xml:space="preserve">All fees received under this chapter shall be paid to the Treasurer of State to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§4700-B.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§4700-B.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§4700-B.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