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Except where otherwise indicated,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Education.</w:t>
        <w:t xml:space="preserve"> </w:t>
      </w:r>
      <w:r>
        <w:t xml:space="preserve"> </w:t>
      </w:r>
      <w:r>
        <w:t xml:space="preserve">The board may adopt rules to be applied in determining whether educational programs meet the license qualifications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License qualifications.</w:t>
        <w:t xml:space="preserve"> </w:t>
      </w:r>
      <w:r>
        <w:t xml:space="preserve"> </w:t>
      </w:r>
      <w:r>
        <w:t xml:space="preserve">The board may adopt rules relating to the qualifications of an applicant for a license authorized under this chapter that ensure that an applicant is sufficiently trustworthy and competent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consistent with the standards set forth in this chapter governing the practice of forestry in order to establish standards of practice that serve the public interest.  The board may not adopt rules that govern forestry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