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6100-L</w:t>
        <w:t xml:space="preserve">.  </w:t>
      </w:r>
      <w:r>
        <w:rPr>
          <w:b/>
        </w:rPr>
        <w:t xml:space="preserve">Transmission</w:t>
      </w:r>
    </w:p>
    <w:p>
      <w:pPr>
        <w:jc w:val="both"/>
        <w:spacing w:before="100" w:after="100"/>
        <w:ind w:start="360"/>
        <w:ind w:firstLine="360"/>
      </w:pPr>
      <w:r>
        <w:rPr/>
      </w:r>
      <w:r>
        <w:rPr/>
      </w:r>
      <w:r>
        <w:t xml:space="preserve">Money received for transmission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Money forwarding.</w:t>
        <w:t xml:space="preserve"> </w:t>
      </w:r>
      <w:r>
        <w:t xml:space="preserve"> </w:t>
      </w:r>
      <w:r>
        <w:t xml:space="preserve">A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Failure to forward.</w:t>
        <w:t xml:space="preserve"> </w:t>
      </w:r>
      <w:r>
        <w:t xml:space="preserve"> </w:t>
      </w:r>
      <w:r>
        <w:t xml:space="preserve">If a licensee fails to forward money received for transmission in accordance with this section, the licensee shall respond to inquiries by the sender with the reason for the failure unless providing a response would violate a state or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§6100-L. Transmission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§6100-L. Transmission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§6100-L. TRANSMISSION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