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w:t>
        <w:t xml:space="preserve">.  </w:t>
      </w:r>
      <w:r>
        <w:rPr>
          <w:b/>
        </w:rPr>
        <w:t xml:space="preserve">Report of condition</w:t>
      </w:r>
    </w:p>
    <w:p>
      <w:pPr>
        <w:jc w:val="both"/>
        <w:spacing w:before="100" w:after="100"/>
        <w:ind w:start="360"/>
        <w:ind w:firstLine="360"/>
      </w:pPr>
      <w:r>
        <w:rPr/>
      </w:r>
      <w:r>
        <w:rPr/>
      </w:r>
      <w:r>
        <w:t xml:space="preserve">Condition reporting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Report.</w:t>
        <w:t xml:space="preserve"> </w:t>
      </w:r>
      <w:r>
        <w:t xml:space="preserve"> </w:t>
      </w:r>
      <w:r>
        <w:t xml:space="preserve">A licensee shall submit a report of condition within 45 days of the end of each calendar quarter or within any extended time as the administrator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The report of condition must include:</w:t>
      </w:r>
    </w:p>
    <w:p>
      <w:pPr>
        <w:jc w:val="both"/>
        <w:spacing w:before="100" w:after="0"/>
        <w:ind w:start="720"/>
      </w:pPr>
      <w:r>
        <w:rPr/>
        <w:t>A</w:t>
        <w:t xml:space="preserve">.  </w:t>
      </w:r>
      <w:r>
        <w:rPr/>
      </w:r>
      <w:r>
        <w:t xml:space="preserve">Financial information at the licensee level;</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Nationwide and state-specific money transmission transaction information in every jurisdiction in the United States where the licensee is licensed to engage in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Permissible investments maintenance reporting pursuant to </w:t>
      </w:r>
      <w:r>
        <w:t>section 6100‑U</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Transaction destination country reporting for money received for transmission, if applicable.  The information required by this paragraph is required to be included only in a report of condition submitted within 45 days of the end of the 4th calendar quarter;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Any other information the administrator reasonably requires with respect to the licensee. The administrator may use NMLS for the submission of the report required by this section and may change or update as necessary the requirements of this section to carry out the purposes of this Act and maintain consistency with NMLS reporting.</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 Report of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 Report of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 REPORT OF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