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Suspension or revocation of licenses</w:t>
      </w:r>
    </w:p>
    <w:p>
      <w:pPr>
        <w:jc w:val="both"/>
        <w:spacing w:before="100" w:after="100"/>
        <w:ind w:start="360"/>
        <w:ind w:firstLine="360"/>
      </w:pPr>
      <w:r>
        <w:rPr/>
      </w:r>
      <w:r>
        <w:rPr/>
      </w:r>
      <w:r>
        <w:t xml:space="preserve">After notice and hearing, the administrator may suspend or revoke a licensee's license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licensee applied for its license,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licensee's net worth becomes inadequate and the licensee,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Violations.</w:t>
        <w:t xml:space="preserve"> </w:t>
      </w:r>
      <w:r>
        <w:t xml:space="preserve"> </w:t>
      </w:r>
      <w:r>
        <w:t xml:space="preserve">The licensee knowingly violates any material provision of this subchapter or any rule or order validly promulgated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licensee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licensee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licensee has suspended payment of its obligations, has made an assignment for the benefit of its creditors or has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licensee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licensee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licensee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file report.</w:t>
        <w:t xml:space="preserve"> </w:t>
      </w:r>
      <w:r>
        <w:t xml:space="preserve"> </w:t>
      </w:r>
      <w:r>
        <w:t xml:space="preserve">The licensee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§6116. Suspension or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Suspension or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§6116. SUSPENSION OR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