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ind w:firstLine="360"/>
      </w:pPr>
      <w:r>
        <w:rPr/>
      </w:r>
      <w:r>
        <w:rPr/>
      </w:r>
      <w:r>
        <w:t xml:space="preserve">A licensee desiring to conduct licensed activities through authorized delegates shall authorize each delegate to operate pursuant to an express written contract.  Contracts entered into after the effective date of this subchapter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Appointment.</w:t>
        <w:t xml:space="preserve"> </w:t>
      </w:r>
      <w:r>
        <w:t xml:space="preserve"> </w:t>
      </w:r>
      <w:r>
        <w:t xml:space="preserve">That the licensee appoints the person as its delegate with authority to engage in money transmission on behalf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Authorization for subdelegates.</w:t>
        <w:t xml:space="preserve"> </w:t>
      </w:r>
      <w:r>
        <w:t xml:space="preserve"> </w:t>
      </w:r>
      <w:r>
        <w:t xml:space="preserve">That neither a licensee nor an authorized delegate may authorize subdelegates without the written consent of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Regulation.</w:t>
        <w:t xml:space="preserve"> </w:t>
      </w:r>
      <w:r>
        <w:t xml:space="preserve"> </w:t>
      </w:r>
      <w:r>
        <w:t xml:space="preserve">That licensees are subject to supervision and regulation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§6117. AUTHORIZED DELEGATE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