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6128</w:t>
        <w:t xml:space="preserve">.  </w:t>
      </w:r>
      <w:r>
        <w:rPr>
          <w:b/>
        </w:rPr>
        <w:t xml:space="preserve">Treatment of fees</w:t>
      </w:r>
    </w:p>
    <w:p>
      <w:pPr>
        <w:jc w:val="both"/>
        <w:spacing w:before="100" w:after="100"/>
        <w:ind w:start="360"/>
        <w:ind w:firstLine="360"/>
      </w:pPr>
      <w:r>
        <w:rPr/>
      </w:r>
      <w:r>
        <w:rPr/>
      </w:r>
      <w:r>
        <w:t xml:space="preserve">The aggregate of fees, examination expense reimbursements and other payments made under this subchapter is appropriated for the use of the administrator.  Any balances of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§6128. Treatment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§6128. Treatment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§6128. TREATMENT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