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7027</w:t>
        <w:t xml:space="preserve">.  </w:t>
      </w:r>
      <w:r>
        <w:rPr>
          <w:b/>
        </w:rPr>
        <w:t xml:space="preserve">Qualifications</w:t>
      </w:r>
    </w:p>
    <w:p>
      <w:pPr>
        <w:jc w:val="both"/>
        <w:spacing w:before="100" w:after="100"/>
        <w:ind w:start="360"/>
        <w:ind w:firstLine="360"/>
      </w:pPr>
      <w:r>
        <w:rPr/>
      </w:r>
      <w:r>
        <w:rPr/>
      </w:r>
      <w:r>
        <w:t xml:space="preserve">Members of the board shall be residents of this State, and shall be trustworthy and competent to fulfill the responsibilities imposed by this chapter. Each board member other than the public members shall have been engaged in the active practice of social work as a certified social worker - independent practice or licensed clinical, licensed master or licensed social worker for not less than 5 years prior to appointment.</w:t>
      </w:r>
      <w:r>
        <w:t xml:space="preserve">  </w:t>
      </w:r>
      <w:r xmlns:wp="http://schemas.openxmlformats.org/drawingml/2010/wordprocessingDrawing" xmlns:w15="http://schemas.microsoft.com/office/word/2012/wordml">
        <w:rPr>
          <w:rFonts w:ascii="Arial" w:hAnsi="Arial" w:cs="Arial"/>
          <w:sz w:val="22"/>
          <w:szCs w:val="22"/>
        </w:rPr>
        <w:t xml:space="preserve">[PL 1985, c. 736, §7 (AMD).]</w:t>
      </w:r>
    </w:p>
    <w:p>
      <w:pPr>
        <w:jc w:val="both"/>
        <w:spacing w:before="100" w:after="100"/>
        <w:ind w:start="360"/>
        <w:ind w:firstLine="360"/>
      </w:pPr>
      <w:r>
        <w:rPr/>
      </w:r>
      <w:r>
        <w:rPr/>
      </w:r>
      <w:r>
        <w:t xml:space="preserve">The Governor may remove any member for cause.</w:t>
      </w:r>
      <w:r>
        <w:t xml:space="preserve">  </w:t>
      </w:r>
      <w:r xmlns:wp="http://schemas.openxmlformats.org/drawingml/2010/wordprocessingDrawing" xmlns:w15="http://schemas.microsoft.com/office/word/2012/wordml">
        <w:rPr>
          <w:rFonts w:ascii="Arial" w:hAnsi="Arial" w:cs="Arial"/>
          <w:sz w:val="22"/>
          <w:szCs w:val="22"/>
        </w:rPr>
        <w:t xml:space="preserve">[PL 1983, c. 413, §223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673, §3 (NEW). PL 1983, c. 413, §223 (RPR). PL 1985, c. 736,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§7027.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§7027.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§7027.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