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w:t>
        <w:t xml:space="preserve">.  </w:t>
      </w:r>
      <w:r>
        <w:rPr>
          <w:b/>
        </w:rPr>
        <w:t xml:space="preserve">Powers</w:t>
      </w:r>
    </w:p>
    <w:p>
      <w:pPr>
        <w:jc w:val="both"/>
        <w:spacing w:before="100" w:after="100"/>
        <w:ind w:start="360"/>
        <w:ind w:firstLine="360"/>
      </w:pPr>
      <w:r>
        <w:rPr/>
      </w:r>
      <w:r>
        <w:rPr/>
      </w:r>
      <w:r>
        <w:t xml:space="preserve">The board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V, §6 (AMD).]</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w:pPr>
        <w:jc w:val="both"/>
        <w:spacing w:before="100" w:after="0"/>
        <w:ind w:start="360"/>
        <w:ind w:firstLine="360"/>
      </w:pPr>
      <w:r>
        <w:rPr>
          <w:b/>
        </w:rPr>
        <w:t>1-A</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(RP).]</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w:t>
      </w:r>
      <w:r>
        <w:t>Title 5, chapter 375, subchapter 2</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§84 (RP).]</w:t>
      </w:r>
    </w:p>
    <w:p>
      <w:pPr>
        <w:jc w:val="both"/>
        <w:spacing w:before="100" w:after="0"/>
        <w:ind w:start="360"/>
        <w:ind w:firstLine="360"/>
      </w:pPr>
      <w:r>
        <w:rPr>
          <w:b/>
        </w:rPr>
        <w:t>5</w:t>
        <w:t xml:space="preserve">.  </w:t>
      </w:r>
      <w:r>
        <w:rPr>
          <w:b/>
        </w:rPr>
        <w:t xml:space="preserve">Continuing educational requirements.</w:t>
        <w:t xml:space="preserve"> </w:t>
      </w:r>
      <w:r>
        <w:t xml:space="preserve"> </w:t>
      </w:r>
      <w:r>
        <w:t xml:space="preserve">The board may establish continuing educational requirements as the board considers necessary.  In developing these requirements, the board shall consider training requirements for social workers who are required to conduct investigations or assessments that may lead to the filing of civil or criminal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§225 (RPR). PL 1987, c. 735, §§67,68 (AMD). PL 1989, c. 268, §2 (AMD). PL 1995, c. 397, §84 (AMD). PL 2007, c. 402, Pt. V,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§7030.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§7030.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