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7063</w:t>
        <w:t xml:space="preserve">.  </w:t>
      </w:r>
      <w:r>
        <w:rPr>
          <w:b/>
        </w:rPr>
        <w:t xml:space="preserve">Application</w:t>
      </w:r>
    </w:p>
    <w:p>
      <w:pPr>
        <w:jc w:val="both"/>
        <w:spacing w:before="100" w:after="100"/>
        <w:ind w:start="360"/>
        <w:ind w:firstLine="360"/>
      </w:pPr>
      <w:r>
        <w:rPr/>
      </w:r>
      <w:r>
        <w:rPr/>
      </w:r>
      <w:r>
        <w:t xml:space="preserve">All persons licensed, registered or certified on any level under the prior social work registration law shall be entitled to practice social work as previously authorized as long as licensure remains current.</w:t>
      </w:r>
      <w:r>
        <w:t xml:space="preserve">  </w:t>
      </w:r>
      <w:r xmlns:wp="http://schemas.openxmlformats.org/drawingml/2010/wordprocessingDrawing" xmlns:w15="http://schemas.microsoft.com/office/word/2012/wordml">
        <w:rPr>
          <w:rFonts w:ascii="Arial" w:hAnsi="Arial" w:cs="Arial"/>
          <w:sz w:val="22"/>
          <w:szCs w:val="22"/>
        </w:rPr>
        <w:t xml:space="preserve">[PL 1985, c. 736,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§7063.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§7063.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§7063.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