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7082</w:t>
        <w:t xml:space="preserve">.  </w:t>
      </w:r>
      <w:r>
        <w:rPr>
          <w:b/>
        </w:rPr>
        <w:t xml:space="preserve">Purpose and objectives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compact is to facilitate the interstate practice of regulated social work by improving public access to competent social work services. The compact preserves the regulatory authority of states to protect public health and safety through the current system of state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Objectives.</w:t>
        <w:t xml:space="preserve"> </w:t>
      </w:r>
      <w:r>
        <w:t xml:space="preserve"> </w:t>
      </w:r>
      <w:r>
        <w:t xml:space="preserve">The compact is designed to achieve the following objectives:  </w:t>
      </w:r>
    </w:p>
    <w:p>
      <w:pPr>
        <w:jc w:val="both"/>
        <w:spacing w:before="100" w:after="0"/>
        <w:ind w:start="720"/>
      </w:pPr>
      <w:r>
        <w:rPr/>
        <w:t>A</w:t>
        <w:t xml:space="preserve">.  </w:t>
      </w:r>
      <w:r>
        <w:rPr/>
      </w:r>
      <w:r>
        <w:t xml:space="preserve">Increase public access to 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Reduce overly burdensome and duplicative requirements associated with holding multiple licenses;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Enhance the member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Encourage the cooperation of member states in regulating multistate practice;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Promote mobility and address workforce shortages by eliminating the necessity for licenses in multiple states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Support military families;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Facilitate the exchange of licensure and disciplinary information among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Authorize all member states to hold a regulated social worker accountable for abiding by a member state's laws, rules, regulations and applicable professional standards in the member state in which the client is located at the time care is rendered;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I</w:t>
        <w:t xml:space="preserve">.  </w:t>
      </w:r>
      <w:r>
        <w:rPr/>
      </w:r>
      <w:r>
        <w:t xml:space="preserve">Allow for the use of telehealth to facilitate increased access to regulated 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§7082. Purpose and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§7082. Purpose and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§7082. PURPOSE AND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