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7097</w:t>
        <w:t xml:space="preserve">.  </w:t>
      </w:r>
      <w:r>
        <w:rPr>
          <w:b/>
        </w:rPr>
        <w:t xml:space="preserve">Consistent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social work services in a remote state under a multistate authorization to practice shall adhere to the laws, rules and regulations, including laws, rules, regulations and applicable standards, of the remote state where the client is located at the time care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subchapter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statutes, regulations, rules or other legal requirements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Binding agreements.</w:t>
        <w:t xml:space="preserve"> </w:t>
      </w:r>
      <w:r>
        <w:t xml:space="preserve"> </w:t>
      </w:r>
      <w:r>
        <w:t xml:space="preserve">All permissible agreements between the commission and the member states are binding in accordance with the terms of the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§7097. Consistent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§7097. Consistent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§7097. CONSISTENT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