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Identification cards; badges prohibited</w:t>
      </w:r>
    </w:p>
    <w:p>
      <w:pPr>
        <w:jc w:val="both"/>
        <w:spacing w:before="100" w:after="0"/>
        <w:ind w:start="360"/>
        <w:ind w:firstLine="360"/>
      </w:pPr>
      <w:r>
        <w:rPr>
          <w:b/>
        </w:rPr>
        <w:t>1</w:t>
        <w:t xml:space="preserve">.  </w:t>
      </w:r>
      <w:r>
        <w:rPr>
          <w:b/>
        </w:rPr>
        <w:t xml:space="preserve">Issuance of identification cards.</w:t>
        <w:t xml:space="preserve"> </w:t>
      </w:r>
      <w:r>
        <w:t xml:space="preserve"> </w:t>
      </w:r>
      <w:r>
        <w:t xml:space="preserve">The chief shall design and issue to each person licensed under this chapter an identification card featuring a recent photograph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w:pPr>
        <w:jc w:val="both"/>
        <w:spacing w:before="100" w:after="0"/>
        <w:ind w:start="360"/>
        <w:ind w:firstLine="360"/>
      </w:pPr>
      <w:r>
        <w:rPr>
          <w:b/>
        </w:rPr>
        <w:t>2</w:t>
        <w:t xml:space="preserve">.  </w:t>
      </w:r>
      <w:r>
        <w:rPr>
          <w:b/>
        </w:rPr>
        <w:t xml:space="preserve">Use of badges prohibited.</w:t>
        <w:t xml:space="preserve"> </w:t>
      </w:r>
      <w:r>
        <w:t xml:space="preserve"> </w:t>
      </w:r>
      <w:r>
        <w:t xml:space="preserve">A person licensed under this chapter may not carry or present a badge that suggests, or that would reasonably cause another person to believe, that the licensed professional investigator or investigative assistant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§8115. Identification cards; badges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Identification cards; badges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§8115. IDENTIFICATION CARDS; BADGES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