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85-B</w:t>
        <w:t xml:space="preserve">.  </w:t>
      </w:r>
      <w:r>
        <w:rPr>
          <w:b/>
        </w:rPr>
        <w:t xml:space="preserve">Emergency medical services ambulance operators</w:t>
      </w:r>
    </w:p>
    <w:p>
      <w:pPr>
        <w:jc w:val="both"/>
        <w:spacing w:before="100" w:after="100"/>
        <w:ind w:start="360"/>
        <w:ind w:firstLine="360"/>
      </w:pPr>
      <w:r>
        <w:rPr>
          <w:b/>
        </w:rPr>
        <w:t>1</w:t>
        <w:t xml:space="preserve">.  </w:t>
      </w:r>
      <w:r>
        <w:rPr>
          <w:b/>
        </w:rPr>
        <w:t xml:space="preserve">Mandatory qualifications.</w:t>
        <w:t xml:space="preserve"> </w:t>
      </w:r>
      <w:r>
        <w:t xml:space="preserve"> </w:t>
      </w:r>
      <w:r>
        <w:t xml:space="preserve">The board shall adopt rules governing qualifications for and standards to be observed by emergency medical services ambulance operators, including:</w:t>
      </w:r>
    </w:p>
    <w:p>
      <w:pPr>
        <w:jc w:val="both"/>
        <w:spacing w:before="100" w:after="0"/>
        <w:ind w:start="720"/>
      </w:pPr>
      <w:r>
        <w:rPr/>
        <w:t>A</w:t>
        <w:t xml:space="preserve">.  </w:t>
      </w:r>
      <w:r>
        <w:rPr/>
      </w:r>
      <w:r>
        <w:t xml:space="preserve">Establishing licensing requirements for emergency medical services ambulance operators;</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B</w:t>
        <w:t xml:space="preserve">.  </w:t>
      </w:r>
      <w:r>
        <w:rPr/>
      </w:r>
      <w:r>
        <w:t xml:space="preserve">Establishing minimal education and continuing education requirements for emergency medical services ambulance operators;</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C</w:t>
        <w:t xml:space="preserve">.  </w:t>
      </w:r>
      <w:r>
        <w:rPr/>
      </w:r>
      <w:r>
        <w:t xml:space="preserve">Providing for Maine Emergency Medical Services approval of training programs for emergency medical services ambulance operators that are conducted in accordance with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D</w:t>
        <w:t xml:space="preserve">.  </w:t>
      </w:r>
      <w:r>
        <w:rPr/>
      </w:r>
      <w:r>
        <w:t xml:space="preserve">Establishing requirements for holding a valid state driver’s license pursuant to </w:t>
      </w:r>
      <w:r>
        <w:t>Title 29‑A, chapter 11,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2</w:t>
        <w:t xml:space="preserve">.  </w:t>
      </w:r>
      <w:r>
        <w:rPr>
          <w:b/>
        </w:rPr>
        <w:t xml:space="preserve">Background check.</w:t>
        <w:t xml:space="preserve"> </w:t>
      </w:r>
      <w:r>
        <w:t xml:space="preserve"> </w:t>
      </w:r>
      <w:r>
        <w:t xml:space="preserve">The board shall obtain criminal history record information containing a record of public criminal history record information as defined in </w:t>
      </w:r>
      <w:r>
        <w:t>Title 16, section 703, subsection 8</w:t>
      </w:r>
      <w:r>
        <w:t xml:space="preserve"> for an applicant for licensure under this section.  Information obtained pursuant to this subsection is confidential and may be used only to determine suitability for issuance of a license to operate an emergency medical services ambulance.  The results of criminal history record information checks received by the board are for official use only and may not be disseminated outside the board.  The applicant for licensure shall pay the expense of obtaining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3</w:t>
        <w:t xml:space="preserve">.  </w:t>
      </w:r>
      <w:r>
        <w:rPr>
          <w:b/>
        </w:rPr>
        <w:t xml:space="preserve">Persons requiring a license to operate an emergency medical services ambulance.</w:t>
        <w:t xml:space="preserve"> </w:t>
      </w:r>
      <w:r>
        <w:t xml:space="preserve"> </w:t>
      </w:r>
      <w:r>
        <w:t xml:space="preserve">A person not licensed under </w:t>
      </w:r>
      <w:r>
        <w:t>section 85</w:t>
      </w:r>
      <w:r>
        <w:t xml:space="preserve"> who is associated with a ground ambulance service shall obtain a license under this section to operate an emergency medical services ambulance.  This section does not apply to a person not associated with a ground ambulance service who operates an emergency medical services ambulance.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4</w:t>
        <w:t xml:space="preserve">.  </w:t>
      </w:r>
      <w:r>
        <w:rPr>
          <w:b/>
        </w:rPr>
        <w:t xml:space="preserve">Licensing actions.</w:t>
        <w:t xml:space="preserve"> </w:t>
      </w:r>
      <w:r>
        <w:t xml:space="preserve"> </w:t>
      </w:r>
      <w:r>
        <w:t xml:space="preserve">A license issued under this section is subject to the provisions of </w:t>
      </w:r>
      <w:r>
        <w:t>sections 90‑A</w:t>
      </w:r>
      <w:r>
        <w:t xml:space="preserve"> and </w:t>
      </w:r>
      <w:r>
        <w:t>91‑A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5</w:t>
        <w:t xml:space="preserve">.  </w:t>
      </w:r>
      <w:r>
        <w:rPr>
          <w:b/>
        </w:rPr>
        <w:t xml:space="preserve">Effect on tort claims.</w:t>
        <w:t xml:space="preserve"> </w:t>
      </w:r>
      <w:r>
        <w:t xml:space="preserve"> </w:t>
      </w:r>
      <w:r>
        <w:t xml:space="preserve">This section does not increase any liability that may arise or be limited under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§85-B. Emergency medical services ambulance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§85-B. Emergency medical services ambulance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§85-B. EMERGENCY MEDICAL SERVICES AMBULANCE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