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Address of applicant</w:t>
      </w:r>
    </w:p>
    <w:p>
      <w:pPr>
        <w:jc w:val="both"/>
        <w:spacing w:before="100" w:after="100"/>
        <w:ind w:start="360"/>
        <w:ind w:firstLine="360"/>
      </w:pPr>
      <w:r>
        <w:rPr/>
      </w:r>
      <w:r>
        <w:rPr/>
      </w:r>
      <w:r>
        <w:t xml:space="preserve">Beginning on January 1, 2012, an applicant for a license or renewal of a license under this chapter shall provide the board with:</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w:pPr>
        <w:jc w:val="both"/>
        <w:spacing w:before="100" w:after="0"/>
        <w:ind w:start="360"/>
        <w:ind w:firstLine="360"/>
      </w:pPr>
      <w:r>
        <w:rPr>
          <w:b/>
        </w:rPr>
        <w:t>1</w:t>
        <w:t xml:space="preserve">.  </w:t>
      </w:r>
      <w:r>
        <w:rPr>
          <w:b/>
        </w:rPr>
        <w:t xml:space="preserve">Public record address.</w:t>
        <w:t xml:space="preserve"> </w:t>
      </w:r>
      <w:r>
        <w:t xml:space="preserve"> </w:t>
      </w:r>
      <w:r>
        <w:t xml:space="preserve">A contact address, telephone number and e-mail address that the applicant is willing to have treated as a public record, such as a business address, business telephone number and business e-mail address;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0"/>
        <w:ind w:start="360"/>
        <w:ind w:firstLine="360"/>
      </w:pPr>
      <w:r>
        <w:rPr>
          <w:b/>
        </w:rPr>
        <w:t>2</w:t>
        <w:t xml:space="preserve">.  </w:t>
      </w:r>
      <w:r>
        <w:rPr>
          <w:b/>
        </w:rPr>
        <w:t xml:space="preserve">Personal address.</w:t>
        <w:t xml:space="preserve"> </w:t>
      </w:r>
      <w:r>
        <w:t xml:space="preserve"> </w:t>
      </w:r>
      <w:r>
        <w:t xml:space="preserve">The applicant's personal residence address, personal telephone number and personal e-mail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100"/>
        <w:ind w:start="360"/>
        <w:ind w:firstLine="360"/>
      </w:pPr>
      <w:r>
        <w:rPr/>
      </w:r>
      <w:r>
        <w:rPr/>
      </w:r>
      <w:r>
        <w:t xml:space="preserve">If the applicant is willing to have the applicant's personal residence address and telephone number and personal e-mail address treated as public records, the applicant shall indicate that in the application and is not required to submit a different address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§90-B. ADDRESS OF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