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9414</w:t>
        <w:t xml:space="preserve">.  </w:t>
      </w:r>
      <w:r>
        <w:rPr>
          <w:b/>
        </w:rPr>
        <w:t xml:space="preserve">Powers of the commissioner</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commissioner under this chapter, the commissioner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the witness an order requiring him to appear before the Superior Court to show cause why he should not be adjudged in contempt. The court shall, in a summary manner, hear the evidence and, if it is such as to warrant him to do so, punish the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all rules necessary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4</w:t>
        <w:t xml:space="preserve">.  </w:t>
      </w:r>
      <w:r>
        <w:rPr>
          <w:b/>
        </w:rPr>
        <w:t xml:space="preserve">Expenses.</w:t>
        <w:t xml:space="preserve"> </w:t>
      </w:r>
      <w:r>
        <w:t xml:space="preserve"> </w:t>
      </w:r>
      <w:r>
        <w:t xml:space="preserve">The fees required under this chapter shall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§9414.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§9414.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§9414.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