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9707-A</w:t>
        <w:t xml:space="preserve">.  </w:t>
      </w:r>
      <w:r>
        <w:rPr>
          <w:b/>
        </w:rPr>
        <w:t xml:space="preserve">Respiratory care practitioner trainee license</w:t>
      </w:r>
    </w:p>
    <w:p>
      <w:pPr>
        <w:jc w:val="both"/>
        <w:spacing w:before="100" w:after="100"/>
        <w:ind w:start="360"/>
        <w:ind w:firstLine="360"/>
      </w:pPr>
      <w:r>
        <w:rPr/>
      </w:r>
      <w:r>
        <w:rPr/>
      </w:r>
      <w:r>
        <w:t xml:space="preserve">The board may license student employees as respiratory care practitioner trainees as defined under </w:t>
      </w:r>
      <w:r>
        <w:t>section 9702, subsection 7</w:t>
      </w:r>
      <w:r>
        <w:t xml:space="preserve">, and adopt rules for that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§43 (NEW). PL 2007, c. 402, Pt. W,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§9707-A. Respiratory care practitioner trainee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§9707-A. Respiratory care practitioner trainee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§9707-A. RESPIRATORY CARE PRACTITIONER TRAINEE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