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9909</w:t>
        <w:t xml:space="preserve">.  </w:t>
      </w:r>
      <w:r>
        <w:rPr>
          <w:b/>
        </w:rPr>
        <w:t xml:space="preserve">Term of license</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annually on September 30th or such other time as the commissioner may designate.</w:t>
      </w:r>
    </w:p>
    <w:p>
      <w:pPr>
        <w:jc w:val="both"/>
        <w:spacing w:before="100" w:after="0"/>
        <w:ind w:start="360"/>
      </w:pPr>
      <w:r>
        <w:rPr/>
      </w:r>
      <w:r>
        <w:rPr/>
      </w:r>
      <w:r>
        <w:t xml:space="preserve">Licenses may be renewed up to 90 days after the date of expiration upon payment of a late fee together with the additional late fee and renewal fee as set under </w:t>
      </w:r>
      <w:r>
        <w:t>section 9911</w:t>
      </w:r>
      <w:r>
        <w:t xml:space="preserve">.  Any person who submits an application for renewal more than 90 days after the licensing renewal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§6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Each license renewal must be accompanied by evidence of continuing education or other requirements as established in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1991, c. 509, §33 (AMD). PL 1995, c. 402, §A33 (AMD). PL 1999, c. 257, §4 (AMD). PL 2007, c. 402, Pt. Y,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§9909. Term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§9909. Term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§9909. TERM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