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1424</w:t>
        <w:t xml:space="preserve">.  </w:t>
      </w:r>
      <w:r>
        <w:rPr>
          <w:b/>
        </w:rPr>
        <w:t xml:space="preserve">Limitation</w:t>
      </w:r>
    </w:p>
    <w:p>
      <w:pPr>
        <w:jc w:val="both"/>
        <w:spacing w:before="100" w:after="100"/>
        <w:ind w:start="360"/>
        <w:ind w:firstLine="360"/>
      </w:pPr>
      <w:r>
        <w:rPr/>
      </w:r>
      <w:r>
        <w:rPr/>
      </w:r>
      <w:r>
        <w:t xml:space="preserve">This chapter does not supersede any existing authority of any entity to adopt and enforce any laws, rules or regulations on any matter other than the installation and use of solar energy devices on residential property.</w:t>
      </w:r>
      <w:r>
        <w:t xml:space="preserve">  </w:t>
      </w:r>
      <w:r xmlns:wp="http://schemas.openxmlformats.org/drawingml/2010/wordprocessingDrawing" xmlns:w15="http://schemas.microsoft.com/office/word/2012/wordml">
        <w:rPr>
          <w:rFonts w:ascii="Arial" w:hAnsi="Arial" w:cs="Arial"/>
          <w:sz w:val="22"/>
          <w:szCs w:val="22"/>
        </w:rPr>
        <w:t xml:space="preserve">[PL 2009, c. 273,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§1424.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§1424.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§1424.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