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1601-105</w:t>
        <w:t xml:space="preserve">.  </w:t>
      </w:r>
      <w:r>
        <w:rPr>
          <w:b/>
        </w:rPr>
        <w:t xml:space="preserve">Separate titles and taxation</w:t>
      </w:r>
    </w:p>
    <w:p>
      <w:pPr>
        <w:jc w:val="both"/>
        <w:spacing w:before="100" w:after="100"/>
        <w:ind w:start="360"/>
        <w:ind w:firstLine="360"/>
      </w:pPr>
      <w:r>
        <w:rPr/>
      </w:r>
      <w:r>
        <w:rPr/>
      </w:r>
      <w:r>
        <w:t xml:space="preserve">(a)  If there is any unit owner other than a declarant, each unit which has been created, together with its appurtenant interests, constitutes for all purposes a separate parcel of real estate.</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If there is any unit owner other than a declarant, each unit shall be separately taxed and assessed and no separate tax or assessment may be rendered against any common elements for which a declarant has reserved no development rights.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Any portion of the common elements for which the declarant has reserved any development right to add real estate to a condominium or to withdraw real estate from a condominium, shall be separately taxed and assessed against the declarant, and the declarant alone is liable for payment of those taxes.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(d)  If there is no unit owner other than a declarant, the real estate comprising the condominium may be taxed and assessed in any manner provided by law.</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§1601-105. Separate titles and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§1601-105. SEPARATE TITLES AND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