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§1604-103. Public offering statement;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§1604-103. Public offering statement;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§1604-103. PUBLIC OFFERING STATEMENT;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