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1604-106</w:t>
        <w:t xml:space="preserve">.  </w:t>
      </w:r>
      <w:r>
        <w:rPr>
          <w:b/>
        </w:rPr>
        <w:t xml:space="preserve">Public offering statement; condominium securities</w:t>
      </w:r>
    </w:p>
    <w:p>
      <w:pPr>
        <w:jc w:val="both"/>
        <w:spacing w:before="100" w:after="100"/>
        <w:ind w:start="360"/>
        <w:ind w:firstLine="360"/>
      </w:pPr>
      <w:r>
        <w:rPr/>
      </w:r>
      <w:r>
        <w:rPr/>
      </w:r>
      <w:r>
        <w:t xml:space="preserve">If an interest in a condominium is currently registered with the Securities and Exchange Commission of the United States or the Office of Securities of this State, a declarant satisfies all requirements relating to the preparation of a public offering statement of this Act if the declarant delivers to the purchaser a copy of the public offering statement filed with the Securities and Exchange Commission or the Office of Securities. When a condominium is located in a state other than Maine, under the laws of which a public offering statement is required in detail similar to the requirements of this Act, a declarant satisfies all requirements relating to the preparation of a public offering statement  if the declarant delivers to the purchaser a copy of that public offering statement.</w:t>
      </w:r>
      <w:r>
        <w:t xml:space="preserve">  </w:t>
      </w:r>
      <w:r xmlns:wp="http://schemas.openxmlformats.org/drawingml/2010/wordprocessingDrawing" xmlns:w15="http://schemas.microsoft.com/office/word/2012/wordml">
        <w:rPr>
          <w:rFonts w:ascii="Arial" w:hAnsi="Arial" w:cs="Arial"/>
          <w:sz w:val="22"/>
          <w:szCs w:val="22"/>
        </w:rPr>
        <w:t xml:space="preserve">[PL 2001, c. 182,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2001, c. 182,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§1604-106. Public offering statement; condominium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§1604-106. Public offering statement; condominium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§1604-106. PUBLIC OFFERING STATEMENT; CONDOMINIUM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