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Administrator to retain records of property</w:t>
      </w:r>
    </w:p>
    <w:p>
      <w:pPr>
        <w:jc w:val="both"/>
        <w:spacing w:before="100" w:after="100"/>
        <w:ind w:start="360"/>
        <w:ind w:firstLine="360"/>
      </w:pPr>
      <w:r>
        <w:rPr/>
      </w:r>
      <w:r>
        <w:rPr/>
      </w:r>
      <w:r>
        <w:t xml:space="preserve">The administrator shall: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Name and address of apparent owners.</w:t>
        <w:t xml:space="preserve"> </w:t>
      </w:r>
      <w:r>
        <w:t xml:space="preserve"> </w:t>
      </w:r>
      <w:r>
        <w:t xml:space="preserve">Record and retain the name and last known address of each person shown on a report filed under </w:t>
      </w:r>
      <w:r>
        <w:t>section 2091</w:t>
      </w:r>
      <w:r>
        <w:t xml:space="preserve"> to be the apparent owner of property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and address of insureds, annuitants and beneficiaries.</w:t>
        <w:t xml:space="preserve"> </w:t>
      </w:r>
      <w:r>
        <w:t xml:space="preserve"> </w:t>
      </w:r>
      <w:r>
        <w:t xml:space="preserve">Record and retain the name and last known address of each insured or annuitant and beneficiary shown 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Policy or account number, company and amount.</w:t>
        <w:t xml:space="preserve"> </w:t>
      </w:r>
      <w:r>
        <w:t xml:space="preserve"> </w:t>
      </w:r>
      <w:r>
        <w:t xml:space="preserve">For each policy of insurance or annuity contract listed in the report of an insurance company, record and retain the policy or account number, the name of the company and the amount due or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Holder that filed report.</w:t>
        <w:t xml:space="preserve"> </w:t>
      </w:r>
      <w:r>
        <w:t xml:space="preserve"> </w:t>
      </w:r>
      <w:r>
        <w:t xml:space="preserve">For each apparent owner listed in the report, record and retain the name of the holder that filed the report and the amount due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§2142. Administrator to retain records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Administrator to retain records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§2142. ADMINISTRATOR TO RETAIN RECORDS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