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Expenses and service charges of administrator</w:t>
      </w:r>
    </w:p>
    <w:p>
      <w:pPr>
        <w:jc w:val="both"/>
        <w:spacing w:before="100" w:after="100"/>
        <w:ind w:start="360"/>
        <w:ind w:firstLine="360"/>
      </w:pPr>
      <w:r>
        <w:rPr/>
      </w:r>
      <w:r>
        <w:rPr/>
      </w:r>
      <w:r>
        <w:t xml:space="preserve">Before making a deposit of funds received under this Act to the Unclaimed Property Fund under </w:t>
      </w:r>
      <w:r>
        <w:t>section 2141</w:t>
      </w:r>
      <w:r>
        <w:t xml:space="preserve">, the administrator may deduct: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Expenses of disposition of property.</w:t>
        <w:t xml:space="preserve"> </w:t>
      </w:r>
      <w:r>
        <w:t xml:space="preserve"> </w:t>
      </w:r>
      <w:r>
        <w:t xml:space="preserve">Expenses of disposition of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Costs of mailing and publication.</w:t>
        <w:t xml:space="preserve"> </w:t>
      </w:r>
      <w:r>
        <w:t xml:space="preserve"> </w:t>
      </w:r>
      <w:r>
        <w:t xml:space="preserve">Costs of mailing and publication in connection with property delivered to the administrator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Reasonable service charges.</w:t>
        <w:t xml:space="preserve"> </w:t>
      </w:r>
      <w:r>
        <w:t xml:space="preserve"> </w:t>
      </w:r>
      <w:r>
        <w:t xml:space="preserve">Reasonable service charges;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Expenses incurred.</w:t>
        <w:t xml:space="preserve"> </w:t>
      </w:r>
      <w:r>
        <w:t xml:space="preserve"> </w:t>
      </w:r>
      <w:r>
        <w:t xml:space="preserve">Expenses incurred in examining records of or collecting property from a putative holder or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r>
      <w:r>
        <w:rPr/>
      </w:r>
      <w:r>
        <w:t xml:space="preserve">At the end of each year or more often, the administrator shall transfer to the General Fund all money in the Unclaimed Property Fund under </w:t>
      </w:r>
      <w:r>
        <w:t>section 2141</w:t>
      </w:r>
      <w:r>
        <w:t xml:space="preserve"> that is in excess of $500,000.</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Expenses and service charges of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§2143. EXPENSES AND SERVICE CHARGES OF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