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2222</w:t>
        <w:t xml:space="preserve">.  </w:t>
      </w:r>
      <w:r>
        <w:rPr>
          <w:b/>
        </w:rPr>
        <w:t xml:space="preserve">Transitional provision</w:t>
      </w:r>
    </w:p>
    <w:p>
      <w:pPr>
        <w:jc w:val="both"/>
        <w:spacing w:before="100" w:after="100"/>
        <w:ind w:start="360"/>
        <w:ind w:firstLine="360"/>
      </w:pPr>
      <w:r>
        <w:rPr/>
      </w:r>
      <w:r>
        <w:rPr/>
      </w:r>
      <w:r>
        <w:t xml:space="preserve">This Act does not relieve a holder of a duty that arose before October 1, 2019 to report, pay or deliver property.  Subject to </w:t>
      </w:r>
      <w:r>
        <w:t>section 2120, subsection 2</w:t>
      </w:r>
      <w:r>
        <w:t xml:space="preserve">, a holder that did not comply with the law governing unclaimed property before October 1, 2019 is subject to applicable provisions for enforcement and penalties in effect before October 1, 2019.</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§2222. Transitional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§2222. Transitional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§2222. TRANSITIONAL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