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§353-B. Defects in plats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Defects in plats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§353-B. DEFECTS IN PLATS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